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D5BA7" w14:textId="13DD3D65" w:rsidR="002531AF" w:rsidRPr="00971FAE" w:rsidRDefault="002531AF" w:rsidP="00971FAE">
      <w:pPr>
        <w:pStyle w:val="Heading1"/>
      </w:pPr>
      <w:r w:rsidRPr="002531AF">
        <w:t>Data Dictionary for</w:t>
      </w:r>
      <w:r w:rsidR="00786C21">
        <w:t xml:space="preserve"> Qiagen </w:t>
      </w:r>
      <w:r w:rsidR="007D56F5">
        <w:t>q</w:t>
      </w:r>
      <w:r w:rsidR="00786C21">
        <w:t>PCR microarray files</w:t>
      </w:r>
    </w:p>
    <w:p w14:paraId="68D8865A" w14:textId="4D1F2D63" w:rsidR="00786C21" w:rsidRPr="00971FAE" w:rsidRDefault="00786C21" w:rsidP="002531AF">
      <w:r w:rsidRPr="00971FAE">
        <w:t xml:space="preserve">The table below describes the attributes (data columns) for all </w:t>
      </w:r>
      <w:r w:rsidRPr="00971FAE">
        <w:rPr>
          <w:color w:val="000000" w:themeColor="text1"/>
        </w:rPr>
        <w:t xml:space="preserve">files produced by the Applied Biosystems </w:t>
      </w:r>
      <w:proofErr w:type="spellStart"/>
      <w:r w:rsidRPr="00971FAE">
        <w:rPr>
          <w:color w:val="000000" w:themeColor="text1"/>
        </w:rPr>
        <w:t>StepOnePlus</w:t>
      </w:r>
      <w:proofErr w:type="spellEnd"/>
      <w:r w:rsidRPr="00971FAE">
        <w:rPr>
          <w:color w:val="000000" w:themeColor="text1"/>
        </w:rPr>
        <w:sym w:font="Symbol" w:char="F0D4"/>
      </w:r>
      <w:r w:rsidRPr="00971FAE">
        <w:rPr>
          <w:color w:val="000000" w:themeColor="text1"/>
        </w:rPr>
        <w:t xml:space="preserve"> Real-Time PCR System Software (version 2.2.2) when running </w:t>
      </w:r>
      <w:r w:rsidRPr="00971FAE">
        <w:t>Qiagen Microbial DNA qPCR Arrays ARG (BAID-1901ZRC-24)</w:t>
      </w:r>
      <w:r w:rsidRPr="00971FAE">
        <w:rPr>
          <w:color w:val="000000" w:themeColor="text1"/>
        </w:rPr>
        <w:t>. These files include both</w:t>
      </w:r>
      <w:r w:rsidRPr="00971FAE">
        <w:rPr>
          <w:bdr w:val="none" w:sz="0" w:space="0" w:color="auto" w:frame="1"/>
          <w:lang w:val="en"/>
        </w:rPr>
        <w:t xml:space="preserve"> raw fluorescence</w:t>
      </w:r>
      <w:r w:rsidR="00375D13">
        <w:rPr>
          <w:bdr w:val="none" w:sz="0" w:space="0" w:color="auto" w:frame="1"/>
          <w:lang w:val="en"/>
        </w:rPr>
        <w:t xml:space="preserve"> (</w:t>
      </w:r>
      <w:r w:rsidR="005508F5">
        <w:rPr>
          <w:bdr w:val="none" w:sz="0" w:space="0" w:color="auto" w:frame="1"/>
          <w:lang w:val="en"/>
        </w:rPr>
        <w:t>Cnat</w:t>
      </w:r>
      <w:r w:rsidR="0050557A">
        <w:rPr>
          <w:bdr w:val="none" w:sz="0" w:space="0" w:color="auto" w:frame="1"/>
          <w:lang w:val="en"/>
        </w:rPr>
        <w:t>2022</w:t>
      </w:r>
      <w:r w:rsidR="00375D13">
        <w:rPr>
          <w:bdr w:val="none" w:sz="0" w:space="0" w:color="auto" w:frame="1"/>
          <w:lang w:val="en"/>
        </w:rPr>
        <w:t>_ARG_RawFluorescence.zip)</w:t>
      </w:r>
      <w:r w:rsidRPr="00971FAE">
        <w:rPr>
          <w:bdr w:val="none" w:sz="0" w:space="0" w:color="auto" w:frame="1"/>
          <w:lang w:val="en"/>
        </w:rPr>
        <w:t xml:space="preserve"> and threshold cycle (C</w:t>
      </w:r>
      <w:r w:rsidRPr="00971FAE">
        <w:rPr>
          <w:bdr w:val="none" w:sz="0" w:space="0" w:color="auto" w:frame="1"/>
          <w:vertAlign w:val="subscript"/>
          <w:lang w:val="en"/>
        </w:rPr>
        <w:t>t</w:t>
      </w:r>
      <w:r w:rsidRPr="00971FAE">
        <w:rPr>
          <w:bdr w:val="none" w:sz="0" w:space="0" w:color="auto" w:frame="1"/>
          <w:lang w:val="en"/>
        </w:rPr>
        <w:t>)</w:t>
      </w:r>
      <w:r w:rsidR="00375D13">
        <w:rPr>
          <w:bdr w:val="none" w:sz="0" w:space="0" w:color="auto" w:frame="1"/>
          <w:lang w:val="en"/>
        </w:rPr>
        <w:t xml:space="preserve"> (</w:t>
      </w:r>
      <w:r w:rsidR="005508F5">
        <w:rPr>
          <w:bdr w:val="none" w:sz="0" w:space="0" w:color="auto" w:frame="1"/>
          <w:lang w:val="en"/>
        </w:rPr>
        <w:t>Cnat</w:t>
      </w:r>
      <w:r w:rsidR="0050557A">
        <w:rPr>
          <w:bdr w:val="none" w:sz="0" w:space="0" w:color="auto" w:frame="1"/>
          <w:lang w:val="en"/>
        </w:rPr>
        <w:t>2022</w:t>
      </w:r>
      <w:r w:rsidR="00375D13">
        <w:rPr>
          <w:bdr w:val="none" w:sz="0" w:space="0" w:color="auto" w:frame="1"/>
          <w:lang w:val="en"/>
        </w:rPr>
        <w:t>_ARG_C</w:t>
      </w:r>
      <w:r w:rsidR="00BD104A">
        <w:rPr>
          <w:bdr w:val="none" w:sz="0" w:space="0" w:color="auto" w:frame="1"/>
          <w:lang w:val="en"/>
        </w:rPr>
        <w:t>t</w:t>
      </w:r>
      <w:r w:rsidR="00375D13">
        <w:rPr>
          <w:bdr w:val="none" w:sz="0" w:space="0" w:color="auto" w:frame="1"/>
          <w:lang w:val="en"/>
        </w:rPr>
        <w:t>.zip)</w:t>
      </w:r>
      <w:r w:rsidRPr="00971FAE">
        <w:rPr>
          <w:bdr w:val="none" w:sz="0" w:space="0" w:color="auto" w:frame="1"/>
          <w:lang w:val="en"/>
        </w:rPr>
        <w:t xml:space="preserve"> data.</w:t>
      </w:r>
      <w:r w:rsidR="00375D13">
        <w:rPr>
          <w:bdr w:val="none" w:sz="0" w:space="0" w:color="auto" w:frame="1"/>
          <w:lang w:val="en"/>
        </w:rPr>
        <w:t xml:space="preserve"> Note: Blank cells indicate that no value was recorded and not applicable for the sample.</w:t>
      </w:r>
      <w:r w:rsidR="003E2F06">
        <w:rPr>
          <w:bdr w:val="none" w:sz="0" w:space="0" w:color="auto" w:frame="1"/>
          <w:lang w:val="en"/>
        </w:rPr>
        <w:t xml:space="preserve"> </w:t>
      </w:r>
    </w:p>
    <w:p w14:paraId="50F6FD0F" w14:textId="77777777" w:rsidR="00786C21" w:rsidRPr="00971FAE" w:rsidRDefault="00786C21" w:rsidP="002531AF"/>
    <w:p w14:paraId="160698ED" w14:textId="495EA54C" w:rsidR="002531AF" w:rsidRPr="00971FAE" w:rsidRDefault="002531AF" w:rsidP="002531AF">
      <w:r w:rsidRPr="00971FAE">
        <w:t>The metadata for the</w:t>
      </w:r>
      <w:r w:rsidR="00375D13">
        <w:t>se</w:t>
      </w:r>
      <w:r w:rsidRPr="00971FAE">
        <w:t xml:space="preserve"> data</w:t>
      </w:r>
      <w:r w:rsidR="00375D13">
        <w:t xml:space="preserve"> files</w:t>
      </w:r>
      <w:r w:rsidRPr="00971FAE">
        <w:t xml:space="preserve"> are not complete if they are not distributed with this document.</w:t>
      </w:r>
    </w:p>
    <w:p w14:paraId="73E7958B" w14:textId="77777777" w:rsidR="00BB4D37" w:rsidRPr="00971FAE" w:rsidRDefault="00BB4D37" w:rsidP="002531AF"/>
    <w:p w14:paraId="39589493" w14:textId="6E7A1276" w:rsidR="00BB4D37" w:rsidRPr="00375D13" w:rsidRDefault="007F7E14" w:rsidP="002531AF">
      <w:pPr>
        <w:rPr>
          <w:b/>
          <w:bCs/>
        </w:rPr>
      </w:pPr>
      <w:r>
        <w:rPr>
          <w:b/>
          <w:bCs/>
        </w:rPr>
        <w:t>Cnat</w:t>
      </w:r>
      <w:r w:rsidR="0050557A">
        <w:rPr>
          <w:b/>
          <w:bCs/>
        </w:rPr>
        <w:t>2022_</w:t>
      </w:r>
      <w:r w:rsidR="00BB4D37" w:rsidRPr="00375D13">
        <w:rPr>
          <w:b/>
          <w:bCs/>
        </w:rPr>
        <w:t>ARG</w:t>
      </w:r>
      <w:r w:rsidR="00375D13" w:rsidRPr="00375D13">
        <w:rPr>
          <w:b/>
          <w:bCs/>
        </w:rPr>
        <w:t>_Ct Table</w:t>
      </w:r>
    </w:p>
    <w:p w14:paraId="4BF635DF" w14:textId="77777777" w:rsidR="002531AF" w:rsidRPr="00971FAE" w:rsidRDefault="002531AF" w:rsidP="002531AF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620"/>
        <w:gridCol w:w="6915"/>
      </w:tblGrid>
      <w:tr w:rsidR="00253725" w:rsidRPr="00971FAE" w14:paraId="62E34E7D" w14:textId="77777777" w:rsidTr="00971FAE">
        <w:trPr>
          <w:trHeight w:val="320"/>
        </w:trPr>
        <w:tc>
          <w:tcPr>
            <w:tcW w:w="2620" w:type="dxa"/>
            <w:noWrap/>
            <w:hideMark/>
          </w:tcPr>
          <w:p w14:paraId="090428E2" w14:textId="77777777" w:rsidR="00253725" w:rsidRPr="00971FAE" w:rsidRDefault="00253725">
            <w:pPr>
              <w:rPr>
                <w:b/>
                <w:bCs/>
                <w:color w:val="000000"/>
              </w:rPr>
            </w:pPr>
            <w:proofErr w:type="spellStart"/>
            <w:r w:rsidRPr="00971FAE">
              <w:rPr>
                <w:b/>
                <w:bCs/>
                <w:color w:val="000000"/>
              </w:rPr>
              <w:t>Attribute_Label</w:t>
            </w:r>
            <w:proofErr w:type="spellEnd"/>
          </w:p>
        </w:tc>
        <w:tc>
          <w:tcPr>
            <w:tcW w:w="6915" w:type="dxa"/>
            <w:noWrap/>
            <w:hideMark/>
          </w:tcPr>
          <w:p w14:paraId="7FA11D05" w14:textId="77777777" w:rsidR="00253725" w:rsidRPr="00971FAE" w:rsidRDefault="00253725">
            <w:pPr>
              <w:rPr>
                <w:b/>
                <w:bCs/>
                <w:color w:val="000000"/>
              </w:rPr>
            </w:pPr>
            <w:proofErr w:type="spellStart"/>
            <w:r w:rsidRPr="00971FAE">
              <w:rPr>
                <w:b/>
                <w:bCs/>
                <w:color w:val="000000"/>
              </w:rPr>
              <w:t>Attribute_Definition</w:t>
            </w:r>
            <w:proofErr w:type="spellEnd"/>
          </w:p>
        </w:tc>
      </w:tr>
      <w:tr w:rsidR="00253725" w:rsidRPr="00971FAE" w14:paraId="318B6F80" w14:textId="77777777" w:rsidTr="00971FAE">
        <w:trPr>
          <w:trHeight w:val="340"/>
        </w:trPr>
        <w:tc>
          <w:tcPr>
            <w:tcW w:w="2620" w:type="dxa"/>
            <w:hideMark/>
          </w:tcPr>
          <w:p w14:paraId="4546ED0C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Date</w:t>
            </w:r>
          </w:p>
        </w:tc>
        <w:tc>
          <w:tcPr>
            <w:tcW w:w="6915" w:type="dxa"/>
            <w:hideMark/>
          </w:tcPr>
          <w:p w14:paraId="4D00C4D1" w14:textId="651D3E93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The date and time the qPCR data w</w:t>
            </w:r>
            <w:r w:rsidR="00786C21" w:rsidRPr="00971FAE">
              <w:rPr>
                <w:color w:val="000000"/>
              </w:rPr>
              <w:t>ere</w:t>
            </w:r>
            <w:r w:rsidRPr="00971FAE">
              <w:rPr>
                <w:color w:val="000000"/>
              </w:rPr>
              <w:t xml:space="preserve"> generated</w:t>
            </w:r>
            <w:r w:rsidR="00B1261B">
              <w:rPr>
                <w:color w:val="000000"/>
              </w:rPr>
              <w:t>, in Eastern Standard Time (EST)</w:t>
            </w:r>
            <w:r w:rsidRPr="00971FAE">
              <w:rPr>
                <w:color w:val="000000"/>
              </w:rPr>
              <w:t xml:space="preserve">. </w:t>
            </w:r>
            <w:r w:rsidR="00452627">
              <w:rPr>
                <w:color w:val="000000"/>
              </w:rPr>
              <w:t xml:space="preserve">The date is formatted as YYYY-MM-DD, and the </w:t>
            </w:r>
            <w:r w:rsidR="00912282">
              <w:rPr>
                <w:color w:val="000000"/>
              </w:rPr>
              <w:t>time</w:t>
            </w:r>
            <w:r w:rsidR="00452627">
              <w:rPr>
                <w:color w:val="000000"/>
              </w:rPr>
              <w:t xml:space="preserve"> is HH:</w:t>
            </w:r>
            <w:proofErr w:type="gramStart"/>
            <w:r w:rsidR="00452627">
              <w:rPr>
                <w:color w:val="000000"/>
              </w:rPr>
              <w:t>MM:SS.</w:t>
            </w:r>
            <w:proofErr w:type="gramEnd"/>
          </w:p>
        </w:tc>
      </w:tr>
      <w:tr w:rsidR="00253725" w:rsidRPr="00971FAE" w14:paraId="03DD0503" w14:textId="77777777" w:rsidTr="00971FAE">
        <w:trPr>
          <w:trHeight w:val="340"/>
        </w:trPr>
        <w:tc>
          <w:tcPr>
            <w:tcW w:w="2620" w:type="dxa"/>
            <w:hideMark/>
          </w:tcPr>
          <w:p w14:paraId="4D4158B7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Well</w:t>
            </w:r>
          </w:p>
        </w:tc>
        <w:tc>
          <w:tcPr>
            <w:tcW w:w="6915" w:type="dxa"/>
            <w:hideMark/>
          </w:tcPr>
          <w:p w14:paraId="5EF54ECD" w14:textId="4047DC08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The position on t</w:t>
            </w:r>
            <w:r w:rsidR="00786C21" w:rsidRPr="00971FAE">
              <w:rPr>
                <w:color w:val="000000"/>
              </w:rPr>
              <w:t>he 96-well array (Rows A-H, Columns 1-12).</w:t>
            </w:r>
          </w:p>
        </w:tc>
      </w:tr>
      <w:tr w:rsidR="00253725" w:rsidRPr="00971FAE" w14:paraId="281842D3" w14:textId="77777777" w:rsidTr="00971FAE">
        <w:trPr>
          <w:trHeight w:val="340"/>
        </w:trPr>
        <w:tc>
          <w:tcPr>
            <w:tcW w:w="2620" w:type="dxa"/>
            <w:hideMark/>
          </w:tcPr>
          <w:p w14:paraId="51160534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Sample Name</w:t>
            </w:r>
          </w:p>
        </w:tc>
        <w:tc>
          <w:tcPr>
            <w:tcW w:w="6915" w:type="dxa"/>
            <w:noWrap/>
            <w:hideMark/>
          </w:tcPr>
          <w:p w14:paraId="54D26FCF" w14:textId="0C2FA8C5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 xml:space="preserve">A </w:t>
            </w:r>
            <w:r w:rsidR="00452627">
              <w:rPr>
                <w:color w:val="000000"/>
              </w:rPr>
              <w:t>unique identifier</w:t>
            </w:r>
            <w:r w:rsidRPr="00971FAE">
              <w:rPr>
                <w:color w:val="000000"/>
              </w:rPr>
              <w:t xml:space="preserve"> chosen</w:t>
            </w:r>
            <w:r w:rsidR="003E2F06">
              <w:rPr>
                <w:color w:val="000000"/>
              </w:rPr>
              <w:t xml:space="preserve"> to describe the sample. </w:t>
            </w:r>
            <w:r w:rsidR="00860D47">
              <w:rPr>
                <w:color w:val="000000"/>
              </w:rPr>
              <w:t>For this study</w:t>
            </w:r>
            <w:r w:rsidR="003E2F06">
              <w:rPr>
                <w:color w:val="000000"/>
              </w:rPr>
              <w:t xml:space="preserve"> it</w:t>
            </w:r>
            <w:r w:rsidRPr="00971FAE">
              <w:rPr>
                <w:color w:val="000000"/>
              </w:rPr>
              <w:t xml:space="preserve"> is </w:t>
            </w:r>
            <w:r w:rsidR="00452627">
              <w:rPr>
                <w:color w:val="000000"/>
              </w:rPr>
              <w:t>derived from the</w:t>
            </w:r>
            <w:r w:rsidR="00B76364">
              <w:rPr>
                <w:color w:val="000000"/>
              </w:rPr>
              <w:t xml:space="preserve"> abbreviated</w:t>
            </w:r>
            <w:r w:rsidR="00452627">
              <w:rPr>
                <w:color w:val="000000"/>
              </w:rPr>
              <w:t xml:space="preserve"> </w:t>
            </w:r>
            <w:r w:rsidR="00B83F2D">
              <w:rPr>
                <w:color w:val="000000"/>
              </w:rPr>
              <w:t xml:space="preserve">coral species, </w:t>
            </w:r>
            <w:r w:rsidR="00B83F2D" w:rsidRPr="00B83F2D">
              <w:rPr>
                <w:i/>
                <w:iCs/>
                <w:color w:val="000000"/>
              </w:rPr>
              <w:t>Colpophyllia natans</w:t>
            </w:r>
            <w:r w:rsidR="00B83F2D">
              <w:rPr>
                <w:color w:val="000000"/>
              </w:rPr>
              <w:t xml:space="preserve"> (Cnat), and the bag number in which it was collected.</w:t>
            </w:r>
          </w:p>
        </w:tc>
      </w:tr>
      <w:tr w:rsidR="00253725" w:rsidRPr="00971FAE" w14:paraId="1EC23338" w14:textId="77777777" w:rsidTr="00971FAE">
        <w:trPr>
          <w:trHeight w:val="680"/>
        </w:trPr>
        <w:tc>
          <w:tcPr>
            <w:tcW w:w="2620" w:type="dxa"/>
            <w:hideMark/>
          </w:tcPr>
          <w:p w14:paraId="45C85E56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Target Name</w:t>
            </w:r>
          </w:p>
        </w:tc>
        <w:tc>
          <w:tcPr>
            <w:tcW w:w="6915" w:type="dxa"/>
            <w:hideMark/>
          </w:tcPr>
          <w:p w14:paraId="32D7E03C" w14:textId="608B6985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The antibiotic resistan</w:t>
            </w:r>
            <w:r w:rsidR="00786C21" w:rsidRPr="00971FAE">
              <w:rPr>
                <w:color w:val="000000"/>
              </w:rPr>
              <w:t>ce</w:t>
            </w:r>
            <w:r w:rsidRPr="00971FAE">
              <w:rPr>
                <w:color w:val="000000"/>
              </w:rPr>
              <w:t xml:space="preserve"> gene sequence within the original DNA sample to be amplified.</w:t>
            </w:r>
          </w:p>
        </w:tc>
      </w:tr>
      <w:tr w:rsidR="00253725" w:rsidRPr="00971FAE" w14:paraId="67E59E0C" w14:textId="77777777" w:rsidTr="00971FAE">
        <w:trPr>
          <w:trHeight w:val="680"/>
        </w:trPr>
        <w:tc>
          <w:tcPr>
            <w:tcW w:w="2620" w:type="dxa"/>
            <w:hideMark/>
          </w:tcPr>
          <w:p w14:paraId="6814AD00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Reporter</w:t>
            </w:r>
          </w:p>
        </w:tc>
        <w:tc>
          <w:tcPr>
            <w:tcW w:w="6915" w:type="dxa"/>
            <w:hideMark/>
          </w:tcPr>
          <w:p w14:paraId="7C3DBF6C" w14:textId="340CE11E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The fluorescent dye</w:t>
            </w:r>
            <w:r w:rsidR="007029F2">
              <w:rPr>
                <w:color w:val="000000"/>
              </w:rPr>
              <w:t xml:space="preserve"> (f</w:t>
            </w:r>
            <w:r w:rsidR="007029F2" w:rsidRPr="00B609BF">
              <w:rPr>
                <w:color w:val="000000"/>
              </w:rPr>
              <w:t>luorescein amidite</w:t>
            </w:r>
            <w:r w:rsidR="007029F2">
              <w:rPr>
                <w:color w:val="000000"/>
              </w:rPr>
              <w:t>, abbreviated as FAM)</w:t>
            </w:r>
            <w:r w:rsidR="007029F2" w:rsidRPr="00971FAE">
              <w:rPr>
                <w:color w:val="000000"/>
              </w:rPr>
              <w:t xml:space="preserve"> </w:t>
            </w:r>
            <w:r w:rsidRPr="00971FAE">
              <w:rPr>
                <w:color w:val="000000"/>
              </w:rPr>
              <w:t>used to prepare oligonucleotide probes for detection of the presence of the target sequence.</w:t>
            </w:r>
          </w:p>
        </w:tc>
      </w:tr>
      <w:tr w:rsidR="00253725" w:rsidRPr="00971FAE" w14:paraId="0621FB27" w14:textId="77777777" w:rsidTr="00971FAE">
        <w:trPr>
          <w:trHeight w:val="340"/>
        </w:trPr>
        <w:tc>
          <w:tcPr>
            <w:tcW w:w="2620" w:type="dxa"/>
            <w:hideMark/>
          </w:tcPr>
          <w:p w14:paraId="6EED3076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Quencher</w:t>
            </w:r>
          </w:p>
        </w:tc>
        <w:tc>
          <w:tcPr>
            <w:tcW w:w="6915" w:type="dxa"/>
            <w:hideMark/>
          </w:tcPr>
          <w:p w14:paraId="1C69139C" w14:textId="300C8A68" w:rsidR="00253725" w:rsidRPr="00971FAE" w:rsidRDefault="0047382B">
            <w:pPr>
              <w:rPr>
                <w:color w:val="000000"/>
              </w:rPr>
            </w:pPr>
            <w:r>
              <w:rPr>
                <w:color w:val="000000"/>
              </w:rPr>
              <w:t xml:space="preserve">The molecule that absorbs the fluorescence emitted by the reporter dye. </w:t>
            </w:r>
            <w:r w:rsidR="001D163D">
              <w:rPr>
                <w:color w:val="000000"/>
              </w:rPr>
              <w:t>For these data, no quencher was used.</w:t>
            </w:r>
          </w:p>
        </w:tc>
      </w:tr>
      <w:tr w:rsidR="00253725" w:rsidRPr="00971FAE" w14:paraId="495ED358" w14:textId="77777777" w:rsidTr="00971FAE">
        <w:trPr>
          <w:trHeight w:val="680"/>
        </w:trPr>
        <w:tc>
          <w:tcPr>
            <w:tcW w:w="2620" w:type="dxa"/>
            <w:hideMark/>
          </w:tcPr>
          <w:p w14:paraId="60ACB27A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RQ</w:t>
            </w:r>
          </w:p>
        </w:tc>
        <w:tc>
          <w:tcPr>
            <w:tcW w:w="6915" w:type="dxa"/>
            <w:hideMark/>
          </w:tcPr>
          <w:p w14:paraId="5C47CBB5" w14:textId="41E7CCBA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 xml:space="preserve">Relative </w:t>
            </w:r>
            <w:r w:rsidR="007C726C">
              <w:rPr>
                <w:color w:val="000000"/>
              </w:rPr>
              <w:t>quantification is the fold change compared to the calibrator (e.g., untreated sample, time zero). The calibrator has a RQ value of 1. All samples are compared to the calibrator.</w:t>
            </w:r>
          </w:p>
        </w:tc>
      </w:tr>
      <w:tr w:rsidR="00253725" w:rsidRPr="00971FAE" w14:paraId="2DD7277F" w14:textId="77777777" w:rsidTr="00971FAE">
        <w:trPr>
          <w:trHeight w:val="680"/>
        </w:trPr>
        <w:tc>
          <w:tcPr>
            <w:tcW w:w="2620" w:type="dxa"/>
            <w:hideMark/>
          </w:tcPr>
          <w:p w14:paraId="6A886DCE" w14:textId="3A335D87" w:rsidR="00253725" w:rsidRPr="00971FAE" w:rsidRDefault="00DF7595">
            <w:pPr>
              <w:rPr>
                <w:color w:val="000000"/>
              </w:rPr>
            </w:pPr>
            <w:r w:rsidRPr="00971FAE">
              <w:rPr>
                <w:bdr w:val="none" w:sz="0" w:space="0" w:color="auto" w:frame="1"/>
                <w:lang w:val="en"/>
              </w:rPr>
              <w:t>C</w:t>
            </w:r>
            <w:r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</w:p>
        </w:tc>
        <w:tc>
          <w:tcPr>
            <w:tcW w:w="6915" w:type="dxa"/>
            <w:hideMark/>
          </w:tcPr>
          <w:p w14:paraId="0EE97917" w14:textId="23133682" w:rsidR="00253725" w:rsidRPr="00971FAE" w:rsidRDefault="009E3536">
            <w:pPr>
              <w:rPr>
                <w:color w:val="000000"/>
              </w:rPr>
            </w:pPr>
            <w:r>
              <w:rPr>
                <w:color w:val="000000"/>
              </w:rPr>
              <w:t>Threshold cycle</w:t>
            </w:r>
            <w:r w:rsidR="00253725" w:rsidRPr="00971FAE">
              <w:rPr>
                <w:color w:val="000000"/>
              </w:rPr>
              <w:t>. The</w:t>
            </w:r>
            <w:r>
              <w:rPr>
                <w:color w:val="000000"/>
              </w:rPr>
              <w:t xml:space="preserve"> </w:t>
            </w:r>
            <w:r w:rsidR="00AD61DF" w:rsidRPr="00971FAE">
              <w:rPr>
                <w:bdr w:val="none" w:sz="0" w:space="0" w:color="auto" w:frame="1"/>
                <w:lang w:val="en"/>
              </w:rPr>
              <w:t>C</w:t>
            </w:r>
            <w:r w:rsidR="00AD61DF"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>
              <w:rPr>
                <w:color w:val="000000"/>
              </w:rPr>
              <w:t xml:space="preserve"> is the</w:t>
            </w:r>
            <w:r w:rsidR="00253725" w:rsidRPr="00971FA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cycle number at which </w:t>
            </w:r>
            <w:r w:rsidR="009A0D5C">
              <w:rPr>
                <w:color w:val="000000"/>
              </w:rPr>
              <w:t xml:space="preserve">the </w:t>
            </w:r>
            <w:r w:rsidR="009A0D5C" w:rsidRPr="00971FAE">
              <w:rPr>
                <w:color w:val="000000"/>
              </w:rPr>
              <w:t>fluorescent</w:t>
            </w:r>
            <w:r w:rsidR="00253725" w:rsidRPr="00971FAE">
              <w:rPr>
                <w:color w:val="000000"/>
              </w:rPr>
              <w:t xml:space="preserve"> signal </w:t>
            </w:r>
            <w:r>
              <w:rPr>
                <w:color w:val="000000"/>
              </w:rPr>
              <w:t>generated within a reaction crosses</w:t>
            </w:r>
            <w:r w:rsidR="00253725" w:rsidRPr="00971FAE">
              <w:rPr>
                <w:color w:val="000000"/>
              </w:rPr>
              <w:t xml:space="preserve"> the </w:t>
            </w:r>
            <w:r w:rsidR="00D207AF">
              <w:rPr>
                <w:color w:val="000000"/>
              </w:rPr>
              <w:t xml:space="preserve">threshold </w:t>
            </w:r>
            <w:r>
              <w:rPr>
                <w:color w:val="000000"/>
              </w:rPr>
              <w:t>line</w:t>
            </w:r>
            <w:r w:rsidR="00253725" w:rsidRPr="00971FAE">
              <w:rPr>
                <w:color w:val="000000"/>
              </w:rPr>
              <w:t>.</w:t>
            </w:r>
            <w:r w:rsidR="00147EE0">
              <w:rPr>
                <w:color w:val="000000"/>
              </w:rPr>
              <w:t xml:space="preserve"> A value of “undetermined” refers to “below the limit of detection.”</w:t>
            </w:r>
          </w:p>
        </w:tc>
      </w:tr>
      <w:tr w:rsidR="00253725" w:rsidRPr="00971FAE" w14:paraId="0F471C08" w14:textId="77777777" w:rsidTr="00971FAE">
        <w:trPr>
          <w:trHeight w:val="340"/>
        </w:trPr>
        <w:tc>
          <w:tcPr>
            <w:tcW w:w="2620" w:type="dxa"/>
            <w:hideMark/>
          </w:tcPr>
          <w:p w14:paraId="3212F932" w14:textId="2A1CD1BC" w:rsidR="00253725" w:rsidRPr="00971FAE" w:rsidRDefault="00DF7595">
            <w:pPr>
              <w:rPr>
                <w:color w:val="000000"/>
              </w:rPr>
            </w:pPr>
            <w:r w:rsidRPr="00971FAE">
              <w:rPr>
                <w:bdr w:val="none" w:sz="0" w:space="0" w:color="auto" w:frame="1"/>
                <w:lang w:val="en"/>
              </w:rPr>
              <w:t>C</w:t>
            </w:r>
            <w:r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 w:rsidR="00253725" w:rsidRPr="00971FAE">
              <w:rPr>
                <w:color w:val="000000"/>
              </w:rPr>
              <w:t xml:space="preserve"> Mean</w:t>
            </w:r>
          </w:p>
        </w:tc>
        <w:tc>
          <w:tcPr>
            <w:tcW w:w="6915" w:type="dxa"/>
            <w:hideMark/>
          </w:tcPr>
          <w:p w14:paraId="1CEEC6A3" w14:textId="3876B5B9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 xml:space="preserve">The average of the replicate </w:t>
            </w:r>
            <w:r w:rsidR="00AD61DF" w:rsidRPr="00971FAE">
              <w:rPr>
                <w:bdr w:val="none" w:sz="0" w:space="0" w:color="auto" w:frame="1"/>
                <w:lang w:val="en"/>
              </w:rPr>
              <w:t>C</w:t>
            </w:r>
            <w:r w:rsidR="00AD61DF"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 w:rsidR="00B113DF" w:rsidRPr="00971FAE" w:rsidDel="00B113DF">
              <w:rPr>
                <w:color w:val="000000"/>
              </w:rPr>
              <w:t xml:space="preserve"> </w:t>
            </w:r>
            <w:r w:rsidRPr="00971FAE">
              <w:rPr>
                <w:color w:val="000000"/>
              </w:rPr>
              <w:t>values.</w:t>
            </w:r>
          </w:p>
        </w:tc>
      </w:tr>
      <w:tr w:rsidR="00253725" w:rsidRPr="00971FAE" w14:paraId="40FF2F9E" w14:textId="77777777" w:rsidTr="00971FAE">
        <w:trPr>
          <w:trHeight w:val="340"/>
        </w:trPr>
        <w:tc>
          <w:tcPr>
            <w:tcW w:w="2620" w:type="dxa"/>
            <w:hideMark/>
          </w:tcPr>
          <w:p w14:paraId="6AB33D4F" w14:textId="06AFD97C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Δ</w:t>
            </w:r>
            <w:r w:rsidR="00DF7595" w:rsidRPr="00971FAE">
              <w:rPr>
                <w:bdr w:val="none" w:sz="0" w:space="0" w:color="auto" w:frame="1"/>
                <w:lang w:val="en"/>
              </w:rPr>
              <w:t>C</w:t>
            </w:r>
            <w:r w:rsidR="00DF7595"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 w:rsidRPr="00971FAE">
              <w:rPr>
                <w:color w:val="000000"/>
              </w:rPr>
              <w:t xml:space="preserve"> Mean</w:t>
            </w:r>
          </w:p>
        </w:tc>
        <w:tc>
          <w:tcPr>
            <w:tcW w:w="6915" w:type="dxa"/>
            <w:noWrap/>
            <w:hideMark/>
          </w:tcPr>
          <w:p w14:paraId="7944019F" w14:textId="65491ABC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 xml:space="preserve">The average of the replicate </w:t>
            </w:r>
            <w:r w:rsidR="00AD61DF" w:rsidRPr="00971FAE">
              <w:rPr>
                <w:bdr w:val="none" w:sz="0" w:space="0" w:color="auto" w:frame="1"/>
                <w:lang w:val="en"/>
              </w:rPr>
              <w:t>C</w:t>
            </w:r>
            <w:r w:rsidR="00AD61DF"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 w:rsidRPr="00971FAE">
              <w:rPr>
                <w:color w:val="000000"/>
              </w:rPr>
              <w:t xml:space="preserve"> values for the </w:t>
            </w:r>
            <w:r w:rsidR="00076A4A">
              <w:rPr>
                <w:color w:val="000000"/>
              </w:rPr>
              <w:t>test gene</w:t>
            </w:r>
            <w:r w:rsidR="00076A4A" w:rsidRPr="00971FAE">
              <w:rPr>
                <w:color w:val="000000"/>
              </w:rPr>
              <w:t xml:space="preserve"> </w:t>
            </w:r>
            <w:r w:rsidRPr="00971FAE">
              <w:rPr>
                <w:color w:val="000000"/>
              </w:rPr>
              <w:t>replicate</w:t>
            </w:r>
            <w:r w:rsidR="00076A4A">
              <w:rPr>
                <w:color w:val="000000"/>
              </w:rPr>
              <w:t>s</w:t>
            </w:r>
            <w:r w:rsidRPr="00971FAE">
              <w:rPr>
                <w:color w:val="000000"/>
              </w:rPr>
              <w:t>.</w:t>
            </w:r>
          </w:p>
        </w:tc>
      </w:tr>
      <w:tr w:rsidR="00253725" w:rsidRPr="00971FAE" w14:paraId="5D3A311E" w14:textId="77777777" w:rsidTr="00971FAE">
        <w:trPr>
          <w:trHeight w:val="340"/>
        </w:trPr>
        <w:tc>
          <w:tcPr>
            <w:tcW w:w="2620" w:type="dxa"/>
            <w:hideMark/>
          </w:tcPr>
          <w:p w14:paraId="46B05F83" w14:textId="233711B0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ΔΔ</w:t>
            </w:r>
            <w:r w:rsidR="00DF7595" w:rsidRPr="00971FAE">
              <w:rPr>
                <w:bdr w:val="none" w:sz="0" w:space="0" w:color="auto" w:frame="1"/>
                <w:lang w:val="en"/>
              </w:rPr>
              <w:t>C</w:t>
            </w:r>
            <w:r w:rsidR="00DF7595"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</w:p>
        </w:tc>
        <w:tc>
          <w:tcPr>
            <w:tcW w:w="6915" w:type="dxa"/>
            <w:noWrap/>
            <w:hideMark/>
          </w:tcPr>
          <w:p w14:paraId="774CED58" w14:textId="1271145F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 xml:space="preserve">The calculated ΔΔ </w:t>
            </w:r>
            <w:r w:rsidR="00AD61DF" w:rsidRPr="00971FAE">
              <w:rPr>
                <w:bdr w:val="none" w:sz="0" w:space="0" w:color="auto" w:frame="1"/>
                <w:lang w:val="en"/>
              </w:rPr>
              <w:t>C</w:t>
            </w:r>
            <w:r w:rsidR="00AD61DF"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 w:rsidRPr="00971FAE">
              <w:rPr>
                <w:color w:val="000000"/>
              </w:rPr>
              <w:t xml:space="preserve"> value for the replicate group associated with the test sample.</w:t>
            </w:r>
          </w:p>
        </w:tc>
      </w:tr>
      <w:tr w:rsidR="00253725" w:rsidRPr="00971FAE" w14:paraId="4A9B4C27" w14:textId="77777777" w:rsidTr="00971FAE">
        <w:trPr>
          <w:trHeight w:val="340"/>
        </w:trPr>
        <w:tc>
          <w:tcPr>
            <w:tcW w:w="2620" w:type="dxa"/>
            <w:hideMark/>
          </w:tcPr>
          <w:p w14:paraId="1C7B3852" w14:textId="13063D70" w:rsidR="00253725" w:rsidRPr="00F27BAB" w:rsidRDefault="00253725">
            <w:pPr>
              <w:rPr>
                <w:color w:val="000000"/>
              </w:rPr>
            </w:pPr>
            <w:r w:rsidRPr="00F27BAB">
              <w:rPr>
                <w:color w:val="000000"/>
              </w:rPr>
              <w:t>Automatic</w:t>
            </w:r>
            <w:r w:rsidR="00DF7595" w:rsidRPr="00971FAE">
              <w:rPr>
                <w:bdr w:val="none" w:sz="0" w:space="0" w:color="auto" w:frame="1"/>
                <w:lang w:val="en"/>
              </w:rPr>
              <w:t xml:space="preserve"> C</w:t>
            </w:r>
            <w:r w:rsidR="00DF7595"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 w:rsidRPr="00F27BAB">
              <w:rPr>
                <w:color w:val="000000"/>
              </w:rPr>
              <w:t xml:space="preserve"> Threshold</w:t>
            </w:r>
          </w:p>
        </w:tc>
        <w:tc>
          <w:tcPr>
            <w:tcW w:w="6915" w:type="dxa"/>
            <w:noWrap/>
            <w:hideMark/>
          </w:tcPr>
          <w:p w14:paraId="3E2C7542" w14:textId="35DD1C77" w:rsidR="00253725" w:rsidRPr="00F27BAB" w:rsidRDefault="007E5C2D">
            <w:pPr>
              <w:rPr>
                <w:color w:val="000000"/>
              </w:rPr>
            </w:pPr>
            <w:r w:rsidRPr="00F27BAB">
              <w:rPr>
                <w:color w:val="000000"/>
              </w:rPr>
              <w:t>An analysis setting in which the software calculates the baseline start and end values and the threshold in the amplification plot.</w:t>
            </w:r>
            <w:r w:rsidR="006972CC">
              <w:rPr>
                <w:color w:val="000000"/>
              </w:rPr>
              <w:t xml:space="preserve"> A value of “TRUE” indicates the </w:t>
            </w:r>
            <w:r w:rsidR="00AD61DF" w:rsidRPr="00971FAE">
              <w:rPr>
                <w:bdr w:val="none" w:sz="0" w:space="0" w:color="auto" w:frame="1"/>
                <w:lang w:val="en"/>
              </w:rPr>
              <w:t>C</w:t>
            </w:r>
            <w:r w:rsidR="00AD61DF"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 w:rsidR="006972CC" w:rsidRPr="00F27BAB">
              <w:rPr>
                <w:color w:val="000000"/>
              </w:rPr>
              <w:t xml:space="preserve"> </w:t>
            </w:r>
            <w:r w:rsidR="006972CC">
              <w:rPr>
                <w:color w:val="000000"/>
              </w:rPr>
              <w:t>t</w:t>
            </w:r>
            <w:r w:rsidR="006972CC" w:rsidRPr="00F27BAB">
              <w:rPr>
                <w:color w:val="000000"/>
              </w:rPr>
              <w:t>hreshold</w:t>
            </w:r>
            <w:r w:rsidR="006972CC">
              <w:rPr>
                <w:color w:val="000000"/>
              </w:rPr>
              <w:t xml:space="preserve"> has been set. A value of “FALSE” indicate</w:t>
            </w:r>
            <w:r w:rsidR="00CB2552">
              <w:rPr>
                <w:color w:val="000000"/>
              </w:rPr>
              <w:t>s</w:t>
            </w:r>
            <w:r w:rsidR="006972CC">
              <w:rPr>
                <w:color w:val="000000"/>
              </w:rPr>
              <w:t xml:space="preserve"> that the </w:t>
            </w:r>
            <w:r w:rsidR="00AD61DF" w:rsidRPr="00971FAE">
              <w:rPr>
                <w:bdr w:val="none" w:sz="0" w:space="0" w:color="auto" w:frame="1"/>
                <w:lang w:val="en"/>
              </w:rPr>
              <w:t>C</w:t>
            </w:r>
            <w:r w:rsidR="00AD61DF"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 w:rsidR="006972CC" w:rsidRPr="00F27BAB">
              <w:rPr>
                <w:color w:val="000000"/>
              </w:rPr>
              <w:t xml:space="preserve"> </w:t>
            </w:r>
            <w:r w:rsidR="006972CC">
              <w:rPr>
                <w:color w:val="000000"/>
              </w:rPr>
              <w:t>t</w:t>
            </w:r>
            <w:r w:rsidR="006972CC" w:rsidRPr="00F27BAB">
              <w:rPr>
                <w:color w:val="000000"/>
              </w:rPr>
              <w:t>hreshold</w:t>
            </w:r>
            <w:r w:rsidR="006972CC">
              <w:rPr>
                <w:color w:val="000000"/>
              </w:rPr>
              <w:t xml:space="preserve"> has not been set or calculated.</w:t>
            </w:r>
          </w:p>
        </w:tc>
      </w:tr>
      <w:tr w:rsidR="00253725" w:rsidRPr="00971FAE" w14:paraId="719B81C6" w14:textId="77777777" w:rsidTr="00971FAE">
        <w:trPr>
          <w:trHeight w:val="340"/>
        </w:trPr>
        <w:tc>
          <w:tcPr>
            <w:tcW w:w="2620" w:type="dxa"/>
            <w:hideMark/>
          </w:tcPr>
          <w:p w14:paraId="42C55294" w14:textId="44681551" w:rsidR="00253725" w:rsidRPr="00F27BAB" w:rsidRDefault="00DF7595">
            <w:pPr>
              <w:rPr>
                <w:color w:val="000000"/>
              </w:rPr>
            </w:pPr>
            <w:r w:rsidRPr="00971FAE">
              <w:rPr>
                <w:bdr w:val="none" w:sz="0" w:space="0" w:color="auto" w:frame="1"/>
                <w:lang w:val="en"/>
              </w:rPr>
              <w:t>C</w:t>
            </w:r>
            <w:r w:rsidRPr="00971FAE">
              <w:rPr>
                <w:bdr w:val="none" w:sz="0" w:space="0" w:color="auto" w:frame="1"/>
                <w:vertAlign w:val="subscript"/>
                <w:lang w:val="en"/>
              </w:rPr>
              <w:t>t</w:t>
            </w:r>
            <w:r w:rsidR="00253725" w:rsidRPr="00F27BAB">
              <w:rPr>
                <w:color w:val="000000"/>
              </w:rPr>
              <w:t xml:space="preserve"> Threshold</w:t>
            </w:r>
          </w:p>
        </w:tc>
        <w:tc>
          <w:tcPr>
            <w:tcW w:w="6915" w:type="dxa"/>
            <w:hideMark/>
          </w:tcPr>
          <w:p w14:paraId="26FDCC83" w14:textId="6890CB1B" w:rsidR="00253725" w:rsidRPr="00F27BAB" w:rsidRDefault="006D60C5">
            <w:pPr>
              <w:rPr>
                <w:color w:val="000000"/>
              </w:rPr>
            </w:pPr>
            <w:r>
              <w:rPr>
                <w:color w:val="000000"/>
              </w:rPr>
              <w:t>Manually s</w:t>
            </w:r>
            <w:r w:rsidR="00253725" w:rsidRPr="00F27BAB">
              <w:rPr>
                <w:color w:val="000000"/>
              </w:rPr>
              <w:t>et to 0.2 per protocol.</w:t>
            </w:r>
          </w:p>
        </w:tc>
      </w:tr>
      <w:tr w:rsidR="00253725" w:rsidRPr="00971FAE" w14:paraId="5B0B7618" w14:textId="77777777" w:rsidTr="00971FAE">
        <w:trPr>
          <w:trHeight w:val="340"/>
        </w:trPr>
        <w:tc>
          <w:tcPr>
            <w:tcW w:w="2620" w:type="dxa"/>
            <w:hideMark/>
          </w:tcPr>
          <w:p w14:paraId="75CE6E01" w14:textId="77777777" w:rsidR="00253725" w:rsidRPr="00F27BAB" w:rsidRDefault="00253725">
            <w:pPr>
              <w:rPr>
                <w:color w:val="000000"/>
              </w:rPr>
            </w:pPr>
            <w:r w:rsidRPr="00F27BAB">
              <w:rPr>
                <w:color w:val="000000"/>
              </w:rPr>
              <w:lastRenderedPageBreak/>
              <w:t>Automatic Baseline</w:t>
            </w:r>
          </w:p>
        </w:tc>
        <w:tc>
          <w:tcPr>
            <w:tcW w:w="6915" w:type="dxa"/>
            <w:hideMark/>
          </w:tcPr>
          <w:p w14:paraId="0B5F1DEB" w14:textId="49C1D137" w:rsidR="00253725" w:rsidRPr="00F27BAB" w:rsidRDefault="007E5C2D">
            <w:pPr>
              <w:rPr>
                <w:color w:val="000000"/>
              </w:rPr>
            </w:pPr>
            <w:r w:rsidRPr="00F27BAB">
              <w:rPr>
                <w:color w:val="000000"/>
              </w:rPr>
              <w:t>An analysis setting in which the software calculates the baseline start and end values for the amplification plot.</w:t>
            </w:r>
            <w:r w:rsidR="00CB2552">
              <w:rPr>
                <w:color w:val="000000"/>
              </w:rPr>
              <w:t xml:space="preserve"> A value of “TRUE” indicates the baseline start and end values have been set. A value of “FALSE” indicates that the baseline start and end values have not been set.</w:t>
            </w:r>
          </w:p>
        </w:tc>
      </w:tr>
      <w:tr w:rsidR="00253725" w:rsidRPr="00971FAE" w14:paraId="1AB46CED" w14:textId="77777777" w:rsidTr="00971FAE">
        <w:trPr>
          <w:trHeight w:val="340"/>
        </w:trPr>
        <w:tc>
          <w:tcPr>
            <w:tcW w:w="2620" w:type="dxa"/>
            <w:hideMark/>
          </w:tcPr>
          <w:p w14:paraId="61BE599F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Baseline Start</w:t>
            </w:r>
          </w:p>
        </w:tc>
        <w:tc>
          <w:tcPr>
            <w:tcW w:w="6915" w:type="dxa"/>
            <w:hideMark/>
          </w:tcPr>
          <w:p w14:paraId="5E811FF9" w14:textId="15CCB97B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 xml:space="preserve">The noise level in the beginning cycles. </w:t>
            </w:r>
            <w:r w:rsidR="00177D76">
              <w:rPr>
                <w:color w:val="000000"/>
              </w:rPr>
              <w:t>Manually s</w:t>
            </w:r>
            <w:r w:rsidRPr="00971FAE">
              <w:rPr>
                <w:color w:val="000000"/>
              </w:rPr>
              <w:t>et to 8 per protocol.</w:t>
            </w:r>
          </w:p>
        </w:tc>
      </w:tr>
      <w:tr w:rsidR="00253725" w:rsidRPr="00971FAE" w14:paraId="663D2D12" w14:textId="77777777" w:rsidTr="00971FAE">
        <w:trPr>
          <w:trHeight w:val="340"/>
        </w:trPr>
        <w:tc>
          <w:tcPr>
            <w:tcW w:w="2620" w:type="dxa"/>
            <w:hideMark/>
          </w:tcPr>
          <w:p w14:paraId="16C36EEE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Baseline End</w:t>
            </w:r>
          </w:p>
        </w:tc>
        <w:tc>
          <w:tcPr>
            <w:tcW w:w="6915" w:type="dxa"/>
            <w:hideMark/>
          </w:tcPr>
          <w:p w14:paraId="62836817" w14:textId="69F46206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 xml:space="preserve">The noise level in the beginning cycles. </w:t>
            </w:r>
            <w:r w:rsidR="00177D76">
              <w:rPr>
                <w:color w:val="000000"/>
              </w:rPr>
              <w:t>Manually s</w:t>
            </w:r>
            <w:r w:rsidRPr="00971FAE">
              <w:rPr>
                <w:color w:val="000000"/>
              </w:rPr>
              <w:t>et to 20 per protocol.</w:t>
            </w:r>
          </w:p>
        </w:tc>
      </w:tr>
      <w:tr w:rsidR="00253725" w:rsidRPr="00971FAE" w14:paraId="5153B3E5" w14:textId="77777777" w:rsidTr="00971FAE">
        <w:trPr>
          <w:trHeight w:val="340"/>
        </w:trPr>
        <w:tc>
          <w:tcPr>
            <w:tcW w:w="2620" w:type="dxa"/>
            <w:hideMark/>
          </w:tcPr>
          <w:p w14:paraId="53F6E8E6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Efficiency</w:t>
            </w:r>
          </w:p>
        </w:tc>
        <w:tc>
          <w:tcPr>
            <w:tcW w:w="6915" w:type="dxa"/>
            <w:hideMark/>
          </w:tcPr>
          <w:p w14:paraId="4251A5D5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Calculation of the efficiency of PCR amplification.</w:t>
            </w:r>
          </w:p>
        </w:tc>
      </w:tr>
      <w:tr w:rsidR="00253725" w:rsidRPr="00971FAE" w14:paraId="3D15D469" w14:textId="77777777" w:rsidTr="00065591">
        <w:trPr>
          <w:trHeight w:val="340"/>
        </w:trPr>
        <w:tc>
          <w:tcPr>
            <w:tcW w:w="2620" w:type="dxa"/>
            <w:tcBorders>
              <w:bottom w:val="single" w:sz="4" w:space="0" w:color="auto"/>
            </w:tcBorders>
            <w:hideMark/>
          </w:tcPr>
          <w:p w14:paraId="13293807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Comments</w:t>
            </w:r>
          </w:p>
        </w:tc>
        <w:tc>
          <w:tcPr>
            <w:tcW w:w="6915" w:type="dxa"/>
            <w:tcBorders>
              <w:bottom w:val="single" w:sz="4" w:space="0" w:color="auto"/>
            </w:tcBorders>
            <w:hideMark/>
          </w:tcPr>
          <w:p w14:paraId="2F57243C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 xml:space="preserve">Extra details added by experimenter pertaining to the specific run. </w:t>
            </w:r>
          </w:p>
        </w:tc>
      </w:tr>
      <w:tr w:rsidR="00253725" w:rsidRPr="00971FAE" w14:paraId="04A20EEE" w14:textId="77777777" w:rsidTr="00065591">
        <w:trPr>
          <w:trHeight w:val="340"/>
        </w:trPr>
        <w:tc>
          <w:tcPr>
            <w:tcW w:w="2620" w:type="dxa"/>
            <w:tcBorders>
              <w:bottom w:val="single" w:sz="4" w:space="0" w:color="auto"/>
            </w:tcBorders>
            <w:hideMark/>
          </w:tcPr>
          <w:p w14:paraId="098285FB" w14:textId="77777777" w:rsidR="00253725" w:rsidRPr="00971FAE" w:rsidRDefault="00253725">
            <w:pPr>
              <w:rPr>
                <w:color w:val="000000"/>
              </w:rPr>
            </w:pPr>
            <w:r w:rsidRPr="00971FAE">
              <w:rPr>
                <w:color w:val="000000"/>
              </w:rPr>
              <w:t>NOAMP</w:t>
            </w:r>
          </w:p>
        </w:tc>
        <w:tc>
          <w:tcPr>
            <w:tcW w:w="6915" w:type="dxa"/>
            <w:tcBorders>
              <w:bottom w:val="single" w:sz="4" w:space="0" w:color="auto"/>
            </w:tcBorders>
            <w:hideMark/>
          </w:tcPr>
          <w:p w14:paraId="6F5AACBF" w14:textId="3C650B02" w:rsidR="00253725" w:rsidRPr="00F27BAB" w:rsidRDefault="0094527E">
            <w:pPr>
              <w:rPr>
                <w:color w:val="000000"/>
              </w:rPr>
            </w:pPr>
            <w:r w:rsidRPr="00F27BAB">
              <w:rPr>
                <w:color w:val="000000"/>
                <w:shd w:val="clear" w:color="auto" w:fill="FFFFFF"/>
              </w:rPr>
              <w:t>Wells that result in less than 0.1</w:t>
            </w:r>
            <w:r>
              <w:rPr>
                <w:color w:val="000000"/>
                <w:shd w:val="clear" w:color="auto" w:fill="FFFFFF"/>
              </w:rPr>
              <w:t xml:space="preserve"> are considered to have no amplification. A value of “N” indicates more than 0.1 amplification. A value of “Y” indicates less than 0.1 amplification.</w:t>
            </w:r>
          </w:p>
        </w:tc>
      </w:tr>
    </w:tbl>
    <w:p w14:paraId="4C56FB72" w14:textId="60D8977C" w:rsidR="002531AF" w:rsidRDefault="002531AF" w:rsidP="002531AF">
      <w:pPr>
        <w:rPr>
          <w:rFonts w:ascii="Times" w:hAnsi="Times"/>
          <w:b/>
          <w:bCs/>
          <w:sz w:val="22"/>
        </w:rPr>
      </w:pPr>
    </w:p>
    <w:p w14:paraId="1F04E07F" w14:textId="77777777" w:rsidR="00065591" w:rsidRDefault="00065591" w:rsidP="002531AF">
      <w:pPr>
        <w:rPr>
          <w:rFonts w:ascii="Times" w:hAnsi="Times"/>
          <w:b/>
          <w:bCs/>
          <w:sz w:val="22"/>
        </w:rPr>
      </w:pPr>
    </w:p>
    <w:p w14:paraId="444CF1E8" w14:textId="6CE95BF8" w:rsidR="00065591" w:rsidRDefault="005508F5" w:rsidP="002531AF">
      <w:pPr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t>Cnat</w:t>
      </w:r>
      <w:r w:rsidR="002D4DCA">
        <w:rPr>
          <w:rFonts w:ascii="Times" w:hAnsi="Times"/>
          <w:b/>
          <w:bCs/>
        </w:rPr>
        <w:t>2022</w:t>
      </w:r>
      <w:r w:rsidR="00065591" w:rsidRPr="00065591">
        <w:rPr>
          <w:rFonts w:ascii="Times" w:hAnsi="Times"/>
          <w:b/>
          <w:bCs/>
        </w:rPr>
        <w:t>_ARG_RawFluorescence Table</w:t>
      </w:r>
    </w:p>
    <w:p w14:paraId="5C2B9A5B" w14:textId="77777777" w:rsidR="00065591" w:rsidRPr="00065591" w:rsidRDefault="00065591" w:rsidP="002531AF">
      <w:pPr>
        <w:rPr>
          <w:rFonts w:ascii="Times" w:hAnsi="Times"/>
          <w:b/>
          <w:bCs/>
        </w:rPr>
      </w:pPr>
    </w:p>
    <w:tbl>
      <w:tblPr>
        <w:tblStyle w:val="TableGrid"/>
        <w:tblW w:w="9579" w:type="dxa"/>
        <w:tblLook w:val="04A0" w:firstRow="1" w:lastRow="0" w:firstColumn="1" w:lastColumn="0" w:noHBand="0" w:noVBand="1"/>
      </w:tblPr>
      <w:tblGrid>
        <w:gridCol w:w="2027"/>
        <w:gridCol w:w="7552"/>
      </w:tblGrid>
      <w:tr w:rsidR="00065591" w14:paraId="30358BEC" w14:textId="77777777" w:rsidTr="00D21B78">
        <w:trPr>
          <w:trHeight w:val="325"/>
        </w:trPr>
        <w:tc>
          <w:tcPr>
            <w:tcW w:w="2027" w:type="dxa"/>
            <w:noWrap/>
            <w:hideMark/>
          </w:tcPr>
          <w:p w14:paraId="4621449B" w14:textId="77777777" w:rsidR="00065591" w:rsidRPr="00065591" w:rsidRDefault="00065591">
            <w:pPr>
              <w:rPr>
                <w:b/>
                <w:bCs/>
                <w:color w:val="000000"/>
              </w:rPr>
            </w:pPr>
            <w:proofErr w:type="spellStart"/>
            <w:r w:rsidRPr="00065591">
              <w:rPr>
                <w:b/>
                <w:bCs/>
                <w:color w:val="000000"/>
              </w:rPr>
              <w:t>Attribute_Label</w:t>
            </w:r>
            <w:proofErr w:type="spellEnd"/>
          </w:p>
        </w:tc>
        <w:tc>
          <w:tcPr>
            <w:tcW w:w="7552" w:type="dxa"/>
            <w:noWrap/>
            <w:hideMark/>
          </w:tcPr>
          <w:p w14:paraId="0551DA6F" w14:textId="77777777" w:rsidR="00065591" w:rsidRPr="00065591" w:rsidRDefault="00065591">
            <w:pPr>
              <w:rPr>
                <w:b/>
                <w:bCs/>
                <w:color w:val="000000"/>
              </w:rPr>
            </w:pPr>
            <w:proofErr w:type="spellStart"/>
            <w:r w:rsidRPr="00065591">
              <w:rPr>
                <w:b/>
                <w:bCs/>
                <w:color w:val="000000"/>
              </w:rPr>
              <w:t>Attribute_Definition</w:t>
            </w:r>
            <w:proofErr w:type="spellEnd"/>
          </w:p>
        </w:tc>
      </w:tr>
      <w:tr w:rsidR="00065591" w14:paraId="58AD45C1" w14:textId="77777777" w:rsidTr="00D21B78">
        <w:trPr>
          <w:trHeight w:val="346"/>
        </w:trPr>
        <w:tc>
          <w:tcPr>
            <w:tcW w:w="2027" w:type="dxa"/>
            <w:hideMark/>
          </w:tcPr>
          <w:p w14:paraId="1145AE09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Sample</w:t>
            </w:r>
          </w:p>
        </w:tc>
        <w:tc>
          <w:tcPr>
            <w:tcW w:w="7552" w:type="dxa"/>
            <w:noWrap/>
            <w:hideMark/>
          </w:tcPr>
          <w:p w14:paraId="393245D1" w14:textId="7FC06BE7" w:rsidR="00065591" w:rsidRDefault="00DB2D92" w:rsidP="00065591">
            <w:pPr>
              <w:rPr>
                <w:color w:val="000000"/>
              </w:rPr>
            </w:pPr>
            <w:r w:rsidRPr="00971FAE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>unique identifier</w:t>
            </w:r>
            <w:r w:rsidRPr="00971FAE">
              <w:rPr>
                <w:color w:val="000000"/>
              </w:rPr>
              <w:t xml:space="preserve"> chosen</w:t>
            </w:r>
            <w:r>
              <w:rPr>
                <w:color w:val="000000"/>
              </w:rPr>
              <w:t xml:space="preserve"> to describe the sample. </w:t>
            </w:r>
            <w:r w:rsidR="00860D47">
              <w:rPr>
                <w:color w:val="000000"/>
              </w:rPr>
              <w:t>For this study</w:t>
            </w:r>
            <w:r>
              <w:rPr>
                <w:color w:val="000000"/>
              </w:rPr>
              <w:t xml:space="preserve"> it</w:t>
            </w:r>
            <w:r w:rsidRPr="00971FAE">
              <w:rPr>
                <w:color w:val="000000"/>
              </w:rPr>
              <w:t xml:space="preserve"> is </w:t>
            </w:r>
            <w:r>
              <w:rPr>
                <w:color w:val="000000"/>
              </w:rPr>
              <w:t>derived from the</w:t>
            </w:r>
            <w:r w:rsidR="00AE5906">
              <w:rPr>
                <w:color w:val="000000"/>
              </w:rPr>
              <w:t xml:space="preserve"> abbreviated</w:t>
            </w:r>
            <w:r>
              <w:rPr>
                <w:color w:val="000000"/>
              </w:rPr>
              <w:t xml:space="preserve"> coral species, </w:t>
            </w:r>
            <w:r w:rsidRPr="00B83F2D">
              <w:rPr>
                <w:i/>
                <w:iCs/>
                <w:color w:val="000000"/>
              </w:rPr>
              <w:t>Colpophyllia natans</w:t>
            </w:r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Cnat</w:t>
            </w:r>
            <w:proofErr w:type="spellEnd"/>
            <w:r>
              <w:rPr>
                <w:color w:val="000000"/>
              </w:rPr>
              <w:t>), and the bag number in which it was collected.</w:t>
            </w:r>
          </w:p>
        </w:tc>
      </w:tr>
      <w:tr w:rsidR="00065591" w14:paraId="3A5A23C3" w14:textId="77777777" w:rsidTr="00D21B78">
        <w:trPr>
          <w:trHeight w:val="346"/>
        </w:trPr>
        <w:tc>
          <w:tcPr>
            <w:tcW w:w="2027" w:type="dxa"/>
            <w:hideMark/>
          </w:tcPr>
          <w:p w14:paraId="0A59ED5C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7552" w:type="dxa"/>
            <w:hideMark/>
          </w:tcPr>
          <w:p w14:paraId="36F399A5" w14:textId="1CE25A8C" w:rsidR="00065591" w:rsidRDefault="009B6DBB" w:rsidP="00065591">
            <w:pPr>
              <w:rPr>
                <w:color w:val="000000"/>
              </w:rPr>
            </w:pPr>
            <w:r w:rsidRPr="00971FAE">
              <w:rPr>
                <w:color w:val="000000"/>
              </w:rPr>
              <w:t>The date and time the qPCR data were generated</w:t>
            </w:r>
            <w:r w:rsidR="00AE5906">
              <w:rPr>
                <w:color w:val="000000"/>
              </w:rPr>
              <w:t>, in Eastern Standard Time (EST)</w:t>
            </w:r>
            <w:r w:rsidRPr="00971FAE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The date is formatted as YYYY-MM-DD, and the time is HH:MM:SS.</w:t>
            </w:r>
          </w:p>
        </w:tc>
      </w:tr>
      <w:tr w:rsidR="00065591" w14:paraId="09AB49ED" w14:textId="77777777" w:rsidTr="00D21B78">
        <w:trPr>
          <w:trHeight w:val="346"/>
        </w:trPr>
        <w:tc>
          <w:tcPr>
            <w:tcW w:w="2027" w:type="dxa"/>
            <w:hideMark/>
          </w:tcPr>
          <w:p w14:paraId="2F1ABAFF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Well</w:t>
            </w:r>
          </w:p>
        </w:tc>
        <w:tc>
          <w:tcPr>
            <w:tcW w:w="7552" w:type="dxa"/>
            <w:hideMark/>
          </w:tcPr>
          <w:p w14:paraId="2F84833B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The position on the 96-well array (Rows A-H, Columns 1-12).</w:t>
            </w:r>
          </w:p>
        </w:tc>
      </w:tr>
      <w:tr w:rsidR="00065591" w14:paraId="793D396D" w14:textId="77777777" w:rsidTr="00D21B78">
        <w:trPr>
          <w:trHeight w:val="346"/>
        </w:trPr>
        <w:tc>
          <w:tcPr>
            <w:tcW w:w="2027" w:type="dxa"/>
            <w:hideMark/>
          </w:tcPr>
          <w:p w14:paraId="0B3FB443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Cycle</w:t>
            </w:r>
          </w:p>
        </w:tc>
        <w:tc>
          <w:tcPr>
            <w:tcW w:w="7552" w:type="dxa"/>
            <w:hideMark/>
          </w:tcPr>
          <w:p w14:paraId="25F3136E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 xml:space="preserve">The cycle number each data point was recorded during. </w:t>
            </w:r>
          </w:p>
        </w:tc>
      </w:tr>
      <w:tr w:rsidR="00065591" w14:paraId="306F5A5A" w14:textId="77777777" w:rsidTr="00D21B78">
        <w:trPr>
          <w:trHeight w:val="346"/>
        </w:trPr>
        <w:tc>
          <w:tcPr>
            <w:tcW w:w="2027" w:type="dxa"/>
            <w:hideMark/>
          </w:tcPr>
          <w:p w14:paraId="3CD0FBF7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BLUE</w:t>
            </w:r>
          </w:p>
        </w:tc>
        <w:tc>
          <w:tcPr>
            <w:tcW w:w="7552" w:type="dxa"/>
            <w:hideMark/>
          </w:tcPr>
          <w:p w14:paraId="385F05D4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The raw fluorescence signal for the blue optical filter.</w:t>
            </w:r>
          </w:p>
        </w:tc>
      </w:tr>
      <w:tr w:rsidR="00065591" w14:paraId="1AB098B0" w14:textId="77777777" w:rsidTr="00D21B78">
        <w:trPr>
          <w:trHeight w:val="346"/>
        </w:trPr>
        <w:tc>
          <w:tcPr>
            <w:tcW w:w="2027" w:type="dxa"/>
            <w:hideMark/>
          </w:tcPr>
          <w:p w14:paraId="3AE9FB59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7552" w:type="dxa"/>
            <w:hideMark/>
          </w:tcPr>
          <w:p w14:paraId="3D5C5834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The raw fluorescence signal for the green optical filter.</w:t>
            </w:r>
          </w:p>
        </w:tc>
      </w:tr>
      <w:tr w:rsidR="00065591" w14:paraId="161A784E" w14:textId="77777777" w:rsidTr="00D21B78">
        <w:trPr>
          <w:trHeight w:val="346"/>
        </w:trPr>
        <w:tc>
          <w:tcPr>
            <w:tcW w:w="2027" w:type="dxa"/>
            <w:hideMark/>
          </w:tcPr>
          <w:p w14:paraId="03DE4A98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YELLOW</w:t>
            </w:r>
          </w:p>
        </w:tc>
        <w:tc>
          <w:tcPr>
            <w:tcW w:w="7552" w:type="dxa"/>
            <w:hideMark/>
          </w:tcPr>
          <w:p w14:paraId="01E0549B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The raw fluorescence signal for the yellow optical filter.</w:t>
            </w:r>
          </w:p>
        </w:tc>
      </w:tr>
      <w:tr w:rsidR="00065591" w14:paraId="44A33677" w14:textId="77777777" w:rsidTr="00D21B78">
        <w:trPr>
          <w:trHeight w:val="346"/>
        </w:trPr>
        <w:tc>
          <w:tcPr>
            <w:tcW w:w="2027" w:type="dxa"/>
            <w:hideMark/>
          </w:tcPr>
          <w:p w14:paraId="10861272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RED</w:t>
            </w:r>
          </w:p>
        </w:tc>
        <w:tc>
          <w:tcPr>
            <w:tcW w:w="7552" w:type="dxa"/>
            <w:hideMark/>
          </w:tcPr>
          <w:p w14:paraId="027E5C2F" w14:textId="77777777" w:rsidR="00065591" w:rsidRDefault="00065591" w:rsidP="00065591">
            <w:pPr>
              <w:rPr>
                <w:color w:val="000000"/>
              </w:rPr>
            </w:pPr>
            <w:r>
              <w:rPr>
                <w:color w:val="000000"/>
              </w:rPr>
              <w:t>The raw fluorescence signal for the red optical filter.</w:t>
            </w:r>
          </w:p>
        </w:tc>
      </w:tr>
    </w:tbl>
    <w:p w14:paraId="674B2E23" w14:textId="77777777" w:rsidR="00065591" w:rsidRPr="00253725" w:rsidRDefault="00065591" w:rsidP="002531AF">
      <w:pPr>
        <w:rPr>
          <w:rFonts w:ascii="Times" w:hAnsi="Times"/>
          <w:b/>
          <w:bCs/>
          <w:sz w:val="22"/>
        </w:rPr>
      </w:pPr>
    </w:p>
    <w:sectPr w:rsidR="00065591" w:rsidRPr="00253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Times New Roman"/>
    <w:panose1 w:val="00000500000000020000"/>
    <w:charset w:val="00"/>
    <w:family w:val="roman"/>
    <w:pitch w:val="default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AF"/>
    <w:rsid w:val="00006B59"/>
    <w:rsid w:val="000109F8"/>
    <w:rsid w:val="00065591"/>
    <w:rsid w:val="00076A4A"/>
    <w:rsid w:val="000F7609"/>
    <w:rsid w:val="00147EE0"/>
    <w:rsid w:val="00177D76"/>
    <w:rsid w:val="001D163D"/>
    <w:rsid w:val="001E41E9"/>
    <w:rsid w:val="001F41ED"/>
    <w:rsid w:val="002531AF"/>
    <w:rsid w:val="00253725"/>
    <w:rsid w:val="002D4DCA"/>
    <w:rsid w:val="00333E74"/>
    <w:rsid w:val="00375D13"/>
    <w:rsid w:val="00384F8B"/>
    <w:rsid w:val="003E2F06"/>
    <w:rsid w:val="00452627"/>
    <w:rsid w:val="0047382B"/>
    <w:rsid w:val="00486EAB"/>
    <w:rsid w:val="004D5C60"/>
    <w:rsid w:val="0050557A"/>
    <w:rsid w:val="0051067B"/>
    <w:rsid w:val="005508F5"/>
    <w:rsid w:val="00593E5F"/>
    <w:rsid w:val="005C71DA"/>
    <w:rsid w:val="00624CFC"/>
    <w:rsid w:val="00664B8D"/>
    <w:rsid w:val="00664EDE"/>
    <w:rsid w:val="006961D2"/>
    <w:rsid w:val="006972CC"/>
    <w:rsid w:val="006B4506"/>
    <w:rsid w:val="006C10AB"/>
    <w:rsid w:val="006D60C5"/>
    <w:rsid w:val="007029F2"/>
    <w:rsid w:val="00720382"/>
    <w:rsid w:val="0077279D"/>
    <w:rsid w:val="00775A29"/>
    <w:rsid w:val="00786C21"/>
    <w:rsid w:val="00794D3F"/>
    <w:rsid w:val="007A0632"/>
    <w:rsid w:val="007C726C"/>
    <w:rsid w:val="007D56F5"/>
    <w:rsid w:val="007E5C2D"/>
    <w:rsid w:val="007F7E14"/>
    <w:rsid w:val="00854C18"/>
    <w:rsid w:val="00860D47"/>
    <w:rsid w:val="008940F1"/>
    <w:rsid w:val="00912282"/>
    <w:rsid w:val="0094527E"/>
    <w:rsid w:val="00971FAE"/>
    <w:rsid w:val="009A0D5C"/>
    <w:rsid w:val="009B6DBB"/>
    <w:rsid w:val="009E3536"/>
    <w:rsid w:val="00A02820"/>
    <w:rsid w:val="00A63AA3"/>
    <w:rsid w:val="00A8434E"/>
    <w:rsid w:val="00AD61DF"/>
    <w:rsid w:val="00AE5906"/>
    <w:rsid w:val="00B041DB"/>
    <w:rsid w:val="00B113DF"/>
    <w:rsid w:val="00B1261B"/>
    <w:rsid w:val="00B14425"/>
    <w:rsid w:val="00B45AC5"/>
    <w:rsid w:val="00B62EB8"/>
    <w:rsid w:val="00B76364"/>
    <w:rsid w:val="00B83F2D"/>
    <w:rsid w:val="00BB4D37"/>
    <w:rsid w:val="00BD104A"/>
    <w:rsid w:val="00C10EAD"/>
    <w:rsid w:val="00C12361"/>
    <w:rsid w:val="00C76E78"/>
    <w:rsid w:val="00CB2552"/>
    <w:rsid w:val="00CD37BE"/>
    <w:rsid w:val="00D207AF"/>
    <w:rsid w:val="00D21B78"/>
    <w:rsid w:val="00D50DB2"/>
    <w:rsid w:val="00DA23B5"/>
    <w:rsid w:val="00DB2D92"/>
    <w:rsid w:val="00DC472B"/>
    <w:rsid w:val="00DF14EE"/>
    <w:rsid w:val="00DF7595"/>
    <w:rsid w:val="00E55E12"/>
    <w:rsid w:val="00F20D0C"/>
    <w:rsid w:val="00F2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1DD09"/>
  <w15:chartTrackingRefBased/>
  <w15:docId w15:val="{1701205F-E6A7-7349-BF45-7932FC4E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591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1FAE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531AF"/>
    <w:rPr>
      <w:rFonts w:asciiTheme="minorHAnsi" w:hAnsiTheme="minorHAnsi"/>
      <w:i/>
      <w:iCs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53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D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D3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D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D3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Strong">
    <w:name w:val="Strong"/>
    <w:basedOn w:val="DefaultParagraphFont"/>
    <w:uiPriority w:val="22"/>
    <w:qFormat/>
    <w:rsid w:val="00253725"/>
    <w:rPr>
      <w:rFonts w:asciiTheme="minorHAnsi" w:hAnsiTheme="minorHAnsi"/>
      <w:b/>
      <w:bCs/>
      <w:sz w:val="22"/>
    </w:rPr>
  </w:style>
  <w:style w:type="table" w:styleId="TableGrid">
    <w:name w:val="Table Grid"/>
    <w:basedOn w:val="TableNormal"/>
    <w:uiPriority w:val="39"/>
    <w:rsid w:val="0097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71FAE"/>
    <w:rPr>
      <w:rFonts w:ascii="Times New Roman" w:eastAsiaTheme="majorEastAsia" w:hAnsi="Times New Roman" w:cstheme="majorBidi"/>
      <w:b/>
      <w:kern w:val="0"/>
      <w:sz w:val="32"/>
      <w:szCs w:val="32"/>
      <w14:ligatures w14:val="none"/>
    </w:rPr>
  </w:style>
  <w:style w:type="paragraph" w:styleId="Revision">
    <w:name w:val="Revision"/>
    <w:hidden/>
    <w:uiPriority w:val="99"/>
    <w:semiHidden/>
    <w:rsid w:val="007C726C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Voelschow, Julie (Contractor)</dc:creator>
  <cp:keywords/>
  <dc:description/>
  <cp:lastModifiedBy>Voelschow, Julie J</cp:lastModifiedBy>
  <cp:revision>62</cp:revision>
  <dcterms:created xsi:type="dcterms:W3CDTF">2023-09-18T16:10:00Z</dcterms:created>
  <dcterms:modified xsi:type="dcterms:W3CDTF">2024-05-21T15:10:00Z</dcterms:modified>
</cp:coreProperties>
</file>